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D1C2" w14:textId="33E36ED6" w:rsidR="00161301" w:rsidRPr="00161301" w:rsidRDefault="00161301" w:rsidP="00161301">
      <w:pPr>
        <w:pStyle w:val="Heading2"/>
        <w:ind w:left="360" w:hanging="360"/>
        <w:rPr>
          <w:rFonts w:ascii="Poppins" w:hAnsi="Poppins" w:cs="Poppins"/>
          <w:b/>
          <w:bCs/>
          <w:color w:val="0070C0"/>
        </w:rPr>
      </w:pPr>
      <w:bookmarkStart w:id="0" w:name="_Toc208829275"/>
      <w:r w:rsidRPr="00161301">
        <w:rPr>
          <w:rFonts w:ascii="Poppins" w:hAnsi="Poppins" w:cs="Poppins"/>
          <w:b/>
          <w:bCs/>
          <w:color w:val="0070C0"/>
        </w:rPr>
        <w:t>Sample Terms of Reference for National School Safety and Education in Emergencies Coordination</w:t>
      </w:r>
      <w:bookmarkEnd w:id="0"/>
      <w:r w:rsidRPr="00161301">
        <w:rPr>
          <w:rFonts w:ascii="Poppins" w:hAnsi="Poppins" w:cs="Poppins"/>
          <w:b/>
          <w:bCs/>
          <w:color w:val="0070C0"/>
        </w:rPr>
        <w:t xml:space="preserve"> </w:t>
      </w:r>
    </w:p>
    <w:p w14:paraId="64F8B845" w14:textId="09B91638" w:rsidR="00161301" w:rsidRPr="00161301" w:rsidRDefault="00161301" w:rsidP="00161301">
      <w:pPr>
        <w:widowControl w:val="0"/>
        <w:spacing w:line="276" w:lineRule="auto"/>
        <w:ind w:right="-14"/>
        <w:jc w:val="center"/>
        <w:rPr>
          <w:rFonts w:eastAsia="Bebas Neue" w:cs="Poppins"/>
          <w:color w:val="000000" w:themeColor="text1"/>
          <w:szCs w:val="20"/>
        </w:rPr>
      </w:pPr>
      <w:r w:rsidRPr="00161301">
        <w:rPr>
          <w:rFonts w:cs="Poppins"/>
          <w:color w:val="000000" w:themeColor="text1"/>
          <w:szCs w:val="20"/>
        </w:rPr>
        <w:t xml:space="preserve">(This document is part of the GADRRRES </w:t>
      </w:r>
      <w:hyperlink r:id="rId7">
        <w:r w:rsidRPr="00161301">
          <w:rPr>
            <w:rStyle w:val="Hyperlink"/>
            <w:rFonts w:cs="Poppins"/>
            <w:color w:val="000000" w:themeColor="text1"/>
            <w:szCs w:val="20"/>
          </w:rPr>
          <w:t>CSSF Quickstart Guide</w:t>
        </w:r>
      </w:hyperlink>
      <w:r w:rsidRPr="00161301">
        <w:rPr>
          <w:rFonts w:cs="Poppins"/>
          <w:color w:val="000000" w:themeColor="text1"/>
          <w:szCs w:val="20"/>
        </w:rPr>
        <w:t xml:space="preserve"> 2024. </w:t>
      </w:r>
      <w:r w:rsidRPr="00161301">
        <w:rPr>
          <w:rFonts w:eastAsia="Bebas Neue" w:cs="Poppins"/>
          <w:color w:val="000000" w:themeColor="text1"/>
          <w:szCs w:val="20"/>
        </w:rPr>
        <w:t>It is intended to be reviewed at national level for contextualization and localization</w:t>
      </w:r>
      <w:r w:rsidRPr="00161301">
        <w:rPr>
          <w:rFonts w:cs="Poppins"/>
          <w:color w:val="000000" w:themeColor="text1"/>
          <w:szCs w:val="20"/>
        </w:rPr>
        <w:t xml:space="preserve">) </w:t>
      </w:r>
    </w:p>
    <w:p w14:paraId="34C22322" w14:textId="77777777" w:rsidR="00161301" w:rsidRPr="00161301" w:rsidRDefault="00161301" w:rsidP="00161301">
      <w:pPr>
        <w:rPr>
          <w:rFonts w:cs="Poppins"/>
          <w:color w:val="0B5AB2"/>
          <w:sz w:val="21"/>
          <w:szCs w:val="21"/>
        </w:rPr>
      </w:pPr>
    </w:p>
    <w:p w14:paraId="16CA90B1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1. Background and Rationale</w:t>
      </w:r>
    </w:p>
    <w:p w14:paraId="741D98C2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National School Safety Coordination Group is established to ensure a collective impact approach to comprehensive school safety (CSS) and child rights and resilience in the education sector. The group is co-convened by the [National Ministry of Education] and the [National Disaster Management Organization], bringing together multiple stakeholders to align efforts, coordinate actions, and measure progress in making schools safer, ensuring education continuity, and fostering resilience among children and educators.</w:t>
      </w:r>
    </w:p>
    <w:p w14:paraId="2E7A4F1A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</w:p>
    <w:p w14:paraId="25395F41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operates under two primary global frameworks:</w:t>
      </w:r>
    </w:p>
    <w:p w14:paraId="25080D0B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 xml:space="preserve">1: Comprehensive School Safety Coordination in Regular Times </w:t>
      </w:r>
      <w:r w:rsidRPr="00161301">
        <w:rPr>
          <w:rFonts w:cs="Poppins"/>
          <w:color w:val="000000"/>
          <w:szCs w:val="20"/>
        </w:rPr>
        <w:t>– guided by the Comprehensive School Safety Framework (CSSF) developed by the Global Alliance for Disaster Risk Reduction and Resilience in the Education Sector (GADRRRES). The CSSF takes an all-hazards, all-risks, all-vulnerabilities approach to school safety.</w:t>
      </w:r>
    </w:p>
    <w:p w14:paraId="40E91CF6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 xml:space="preserve">2: Coordination for School Safety During Emergencies and Humanitarian Response </w:t>
      </w:r>
      <w:r w:rsidRPr="00161301">
        <w:rPr>
          <w:rFonts w:cs="Poppins"/>
          <w:color w:val="000000"/>
          <w:szCs w:val="20"/>
        </w:rPr>
        <w:t>– informed by the UN Office for Coordination of Humanitarian Assistance (OCHA), the Global Education Cluster (GEC) co-chaired by</w:t>
      </w:r>
    </w:p>
    <w:p w14:paraId="4A08EB86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UNICEF and Save the Children, and the Interagency Network for Education in Emergencies (INEE).</w:t>
      </w:r>
    </w:p>
    <w:p w14:paraId="53404B92" w14:textId="77777777" w:rsidR="00161301" w:rsidRPr="00161301" w:rsidRDefault="00161301" w:rsidP="00161301">
      <w:pPr>
        <w:rPr>
          <w:rFonts w:cs="Poppins"/>
          <w:color w:val="0B5AB2"/>
          <w:szCs w:val="20"/>
        </w:rPr>
      </w:pPr>
    </w:p>
    <w:p w14:paraId="649FFC59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2. Objectives</w:t>
      </w:r>
    </w:p>
    <w:p w14:paraId="68A0DA24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overarching goal is to take a participatory, risk-informed approach to:</w:t>
      </w:r>
    </w:p>
    <w:p w14:paraId="7DDD81EC" w14:textId="77777777" w:rsidR="00161301" w:rsidRPr="00161301" w:rsidRDefault="00161301" w:rsidP="00161301">
      <w:pPr>
        <w:pStyle w:val="ListParagraph"/>
        <w:numPr>
          <w:ilvl w:val="0"/>
          <w:numId w:val="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Protect learners, educators, and school staff from death, injury, violence, and harm in schools and learning spaces.</w:t>
      </w:r>
    </w:p>
    <w:p w14:paraId="35CE3BB0" w14:textId="77777777" w:rsidR="00161301" w:rsidRPr="00161301" w:rsidRDefault="00161301" w:rsidP="00161301">
      <w:pPr>
        <w:pStyle w:val="ListParagraph"/>
        <w:numPr>
          <w:ilvl w:val="0"/>
          <w:numId w:val="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Plan for education and protection continuity, minimizing disruptions from hazards, shocks, and stresses.</w:t>
      </w:r>
    </w:p>
    <w:p w14:paraId="43D499A4" w14:textId="77777777" w:rsidR="00161301" w:rsidRPr="00161301" w:rsidRDefault="00161301" w:rsidP="00161301">
      <w:pPr>
        <w:pStyle w:val="ListParagraph"/>
        <w:numPr>
          <w:ilvl w:val="0"/>
          <w:numId w:val="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Promote risk reduction, resilience-building, and sustainable development through knowledge and skill-building.</w:t>
      </w:r>
    </w:p>
    <w:p w14:paraId="4E170617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3. Roles and Responsibilities</w:t>
      </w:r>
    </w:p>
    <w:p w14:paraId="64516E34" w14:textId="77777777" w:rsidR="00161301" w:rsidRPr="00161301" w:rsidRDefault="00161301" w:rsidP="00161301">
      <w:pPr>
        <w:rPr>
          <w:rFonts w:cs="Poppins"/>
          <w:b/>
          <w:bCs/>
          <w:color w:val="0B5AB2"/>
        </w:rPr>
      </w:pPr>
    </w:p>
    <w:p w14:paraId="22FDB688" w14:textId="77777777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>3.1 National Coordination Structure</w:t>
      </w:r>
    </w:p>
    <w:p w14:paraId="7A50399F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is structured with the following key components:</w:t>
      </w:r>
    </w:p>
    <w:p w14:paraId="72BF8E22" w14:textId="77777777" w:rsidR="00161301" w:rsidRPr="00161301" w:rsidRDefault="00161301" w:rsidP="00161301">
      <w:pPr>
        <w:pStyle w:val="ListParagraph"/>
        <w:numPr>
          <w:ilvl w:val="0"/>
          <w:numId w:val="2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National Coordination Body: Co-led by the Ministry of Education and the National Disaster Management Organization, responsible for policy alignment, strategic oversight, and national-level planning. Technical Working Groups (TWGs) as needed: </w:t>
      </w:r>
      <w:r w:rsidRPr="00161301">
        <w:rPr>
          <w:rFonts w:cs="Poppins"/>
          <w:color w:val="000000"/>
          <w:szCs w:val="20"/>
        </w:rPr>
        <w:lastRenderedPageBreak/>
        <w:t>Focused on specific areas such as risk assessment, school safety infrastructure, educational continuity (including emergency preparedness, anticipatory action, and emergency response).</w:t>
      </w:r>
    </w:p>
    <w:p w14:paraId="39BC947B" w14:textId="77777777" w:rsidR="00161301" w:rsidRPr="00161301" w:rsidRDefault="00161301" w:rsidP="00161301">
      <w:pPr>
        <w:pStyle w:val="ListParagraph"/>
        <w:numPr>
          <w:ilvl w:val="0"/>
          <w:numId w:val="2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Regional/Sub-National Coordination Groups as needed: Ensure localized implementation and feedback loops to the national body.</w:t>
      </w:r>
    </w:p>
    <w:p w14:paraId="1298FC57" w14:textId="77777777" w:rsidR="00161301" w:rsidRPr="00161301" w:rsidRDefault="00161301" w:rsidP="00161301">
      <w:pPr>
        <w:pStyle w:val="ListParagraph"/>
        <w:numPr>
          <w:ilvl w:val="0"/>
          <w:numId w:val="2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Stakeholder Forum as needed: Engages civil society, UN agencies, NGOs, academia, private sector, and community representatives, with attention to equity, diversity and social inclusion.</w:t>
      </w:r>
    </w:p>
    <w:p w14:paraId="12155E4A" w14:textId="77777777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>3.2 Stakeholder Responsibilities</w:t>
      </w:r>
    </w:p>
    <w:p w14:paraId="58CEF7B3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Stakeholders commit to:</w:t>
      </w:r>
    </w:p>
    <w:p w14:paraId="17017E6C" w14:textId="77777777" w:rsidR="00161301" w:rsidRPr="00161301" w:rsidRDefault="00161301" w:rsidP="00161301">
      <w:pPr>
        <w:pStyle w:val="ListParagraph"/>
        <w:numPr>
          <w:ilvl w:val="0"/>
          <w:numId w:val="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Participating in quarterly coordination meetings and annual strategic planning sessions.</w:t>
      </w:r>
    </w:p>
    <w:p w14:paraId="2F5BBA65" w14:textId="77777777" w:rsidR="00161301" w:rsidRPr="00161301" w:rsidRDefault="00161301" w:rsidP="00161301">
      <w:pPr>
        <w:pStyle w:val="ListParagraph"/>
        <w:numPr>
          <w:ilvl w:val="0"/>
          <w:numId w:val="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Contributing to risk assessments, monitoring, and reporting.</w:t>
      </w:r>
    </w:p>
    <w:p w14:paraId="6D0A8144" w14:textId="77777777" w:rsidR="00161301" w:rsidRPr="00161301" w:rsidRDefault="00161301" w:rsidP="00161301">
      <w:pPr>
        <w:pStyle w:val="ListParagraph"/>
        <w:numPr>
          <w:ilvl w:val="0"/>
          <w:numId w:val="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Aligning activities with the national Comprehensive School Safety Plan.</w:t>
      </w:r>
    </w:p>
    <w:p w14:paraId="470DFFF8" w14:textId="77777777" w:rsidR="00161301" w:rsidRPr="00161301" w:rsidRDefault="00161301" w:rsidP="00161301">
      <w:pPr>
        <w:pStyle w:val="ListParagraph"/>
        <w:numPr>
          <w:ilvl w:val="0"/>
          <w:numId w:val="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Supporting knowledge-sharing and technical assistance.</w:t>
      </w:r>
    </w:p>
    <w:p w14:paraId="7F21A714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4. Regular Coordination for Comprehensive School Safety</w:t>
      </w:r>
    </w:p>
    <w:p w14:paraId="4913B03D" w14:textId="77777777" w:rsidR="00161301" w:rsidRPr="00161301" w:rsidRDefault="00161301" w:rsidP="00161301">
      <w:pPr>
        <w:rPr>
          <w:rFonts w:cs="Poppins"/>
          <w:b/>
          <w:bCs/>
          <w:color w:val="0B5AB2"/>
        </w:rPr>
      </w:pPr>
    </w:p>
    <w:p w14:paraId="135CE550" w14:textId="77777777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>4.1. Key Areas of Work, Objectives, and Responsibilities</w:t>
      </w:r>
    </w:p>
    <w:p w14:paraId="6DD5D6AC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The [GROUP NAME] supports the implementation of the Comprehensive School Safety Framework (CSSF), which uses a risk-informed, all-hazards approach to school safety. It aligns national planning with global standards and identifies gaps and priorities using CSSF indicators. </w:t>
      </w:r>
    </w:p>
    <w:p w14:paraId="3F996F8F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Area of Work Objectives &amp; Responsibilities</w:t>
      </w:r>
    </w:p>
    <w:p w14:paraId="7C598A27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</w:p>
    <w:p w14:paraId="1215E5C5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Systems and Policies</w:t>
      </w:r>
      <w:r w:rsidRPr="00161301">
        <w:rPr>
          <w:rFonts w:cs="Poppins"/>
          <w:color w:val="000000"/>
          <w:szCs w:val="20"/>
        </w:rPr>
        <w:t xml:space="preserve"> </w:t>
      </w:r>
    </w:p>
    <w:p w14:paraId="6D1C63BF" w14:textId="77777777" w:rsidR="00161301" w:rsidRPr="00161301" w:rsidRDefault="00161301" w:rsidP="00161301">
      <w:pPr>
        <w:pStyle w:val="ListParagraph"/>
        <w:numPr>
          <w:ilvl w:val="0"/>
          <w:numId w:val="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Develop and implement education and disaster management policies that address all hazards and vulnerabilities. </w:t>
      </w:r>
    </w:p>
    <w:p w14:paraId="752B8487" w14:textId="77777777" w:rsidR="00161301" w:rsidRPr="00161301" w:rsidRDefault="00161301" w:rsidP="00161301">
      <w:pPr>
        <w:pStyle w:val="ListParagraph"/>
        <w:numPr>
          <w:ilvl w:val="0"/>
          <w:numId w:val="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Promote child rights, education continuity, and sector resilience through leadership and sustainable funding. </w:t>
      </w:r>
    </w:p>
    <w:p w14:paraId="21882FB2" w14:textId="77777777" w:rsidR="00161301" w:rsidRPr="00161301" w:rsidRDefault="00161301" w:rsidP="00161301">
      <w:pPr>
        <w:pStyle w:val="ListParagraph"/>
        <w:numPr>
          <w:ilvl w:val="0"/>
          <w:numId w:val="5"/>
        </w:numPr>
        <w:spacing w:after="200"/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Use risk-informed planning to improve equity and reduce risks.</w:t>
      </w:r>
    </w:p>
    <w:p w14:paraId="009A94DD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Pillar 1: Safer Learning Facilities</w:t>
      </w:r>
    </w:p>
    <w:p w14:paraId="454D838E" w14:textId="77777777" w:rsidR="00161301" w:rsidRPr="00161301" w:rsidRDefault="00161301" w:rsidP="00161301">
      <w:pPr>
        <w:pStyle w:val="ListParagraph"/>
        <w:numPr>
          <w:ilvl w:val="0"/>
          <w:numId w:val="4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Ensure all new and existing school buildings meet national and international safetystandards. </w:t>
      </w:r>
    </w:p>
    <w:p w14:paraId="49BCAAF0" w14:textId="77777777" w:rsidR="00161301" w:rsidRPr="00161301" w:rsidRDefault="00161301" w:rsidP="00161301">
      <w:pPr>
        <w:pStyle w:val="ListParagraph"/>
        <w:numPr>
          <w:ilvl w:val="0"/>
          <w:numId w:val="4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Prioritize safe site selection, construction, and retrofitting of unsafe structures. Include accessible infrastructure (e.g. WASH, evacuation routes, early warning systems) to support safety and learning.</w:t>
      </w:r>
    </w:p>
    <w:p w14:paraId="65F6A203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Pillar 2: School Safety and Educational Continuity Management</w:t>
      </w:r>
    </w:p>
    <w:p w14:paraId="41B22B5A" w14:textId="77777777" w:rsidR="00161301" w:rsidRPr="00161301" w:rsidRDefault="00161301" w:rsidP="00161301">
      <w:pPr>
        <w:pStyle w:val="ListParagraph"/>
        <w:numPr>
          <w:ilvl w:val="0"/>
          <w:numId w:val="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Establish inclusive, multi-hazard preparedness and response plans at all levels. </w:t>
      </w:r>
    </w:p>
    <w:p w14:paraId="6B35E280" w14:textId="77777777" w:rsidR="00161301" w:rsidRPr="00161301" w:rsidRDefault="00161301" w:rsidP="00161301">
      <w:pPr>
        <w:pStyle w:val="ListParagraph"/>
        <w:numPr>
          <w:ilvl w:val="0"/>
          <w:numId w:val="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Focus on continuity of learning and protection through anticipatory action and recovery planning. </w:t>
      </w:r>
    </w:p>
    <w:p w14:paraId="0D3F3B4B" w14:textId="77777777" w:rsidR="00161301" w:rsidRPr="00161301" w:rsidRDefault="00161301" w:rsidP="00161301">
      <w:pPr>
        <w:pStyle w:val="ListParagraph"/>
        <w:numPr>
          <w:ilvl w:val="0"/>
          <w:numId w:val="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lastRenderedPageBreak/>
        <w:t>Engage communities and ensure accountability to affected populations.</w:t>
      </w:r>
    </w:p>
    <w:p w14:paraId="4DD26A36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Pillar 3: Risk Reduction and Resilience Education</w:t>
      </w:r>
    </w:p>
    <w:p w14:paraId="1C417BC7" w14:textId="77777777" w:rsidR="00161301" w:rsidRPr="00161301" w:rsidRDefault="00161301" w:rsidP="00161301">
      <w:pPr>
        <w:pStyle w:val="ListParagraph"/>
        <w:numPr>
          <w:ilvl w:val="0"/>
          <w:numId w:val="7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Integrate safety, climate risk, and child protection education into formal curricula and extracurricular activities. </w:t>
      </w:r>
    </w:p>
    <w:p w14:paraId="173632D3" w14:textId="77777777" w:rsidR="00161301" w:rsidRPr="00161301" w:rsidRDefault="00161301" w:rsidP="00161301">
      <w:pPr>
        <w:pStyle w:val="ListParagraph"/>
        <w:numPr>
          <w:ilvl w:val="0"/>
          <w:numId w:val="7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Train educators in delivering resilience education. </w:t>
      </w:r>
    </w:p>
    <w:p w14:paraId="15487E9B" w14:textId="77777777" w:rsidR="00161301" w:rsidRPr="00161301" w:rsidRDefault="00161301" w:rsidP="00161301">
      <w:pPr>
        <w:pStyle w:val="ListParagraph"/>
        <w:numPr>
          <w:ilvl w:val="0"/>
          <w:numId w:val="7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Provide quality materials and measure learning outcomes, including psychosocial well-being.</w:t>
      </w:r>
    </w:p>
    <w:p w14:paraId="192DAB65" w14:textId="77777777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>4.2 Key Outputs and Indicators</w:t>
      </w:r>
    </w:p>
    <w:p w14:paraId="0815062E" w14:textId="77777777" w:rsidR="00161301" w:rsidRPr="00161301" w:rsidRDefault="00161301" w:rsidP="00161301">
      <w:pPr>
        <w:pStyle w:val="ListParagraph"/>
        <w:numPr>
          <w:ilvl w:val="0"/>
          <w:numId w:val="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Children are not killed, injured or harmed in or on the way to school</w:t>
      </w:r>
    </w:p>
    <w:p w14:paraId="299AC6F0" w14:textId="77777777" w:rsidR="00161301" w:rsidRPr="00161301" w:rsidRDefault="00161301" w:rsidP="00161301">
      <w:pPr>
        <w:pStyle w:val="ListParagraph"/>
        <w:numPr>
          <w:ilvl w:val="0"/>
          <w:numId w:val="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Educational continuity is maintained</w:t>
      </w:r>
    </w:p>
    <w:p w14:paraId="31CEAFD1" w14:textId="77777777" w:rsidR="00161301" w:rsidRPr="00161301" w:rsidRDefault="00161301" w:rsidP="00161301">
      <w:pPr>
        <w:pStyle w:val="ListParagraph"/>
        <w:numPr>
          <w:ilvl w:val="0"/>
          <w:numId w:val="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Education sector investment losses are minimized</w:t>
      </w:r>
    </w:p>
    <w:p w14:paraId="613BBB77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5. Coordination During Emergencies and Humanitarian Assistance</w:t>
      </w:r>
    </w:p>
    <w:p w14:paraId="4B93BC91" w14:textId="77777777" w:rsidR="00161301" w:rsidRPr="00161301" w:rsidRDefault="00161301" w:rsidP="00161301">
      <w:pPr>
        <w:rPr>
          <w:rFonts w:cs="Poppins"/>
          <w:b/>
          <w:bCs/>
          <w:color w:val="0B5AB2"/>
        </w:rPr>
      </w:pPr>
    </w:p>
    <w:p w14:paraId="7DB5D592" w14:textId="60842886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 xml:space="preserve">5.1 </w:t>
      </w:r>
      <w:r>
        <w:rPr>
          <w:rFonts w:cs="Poppins"/>
          <w:b/>
          <w:bCs/>
          <w:color w:val="0B5AB2"/>
          <w:szCs w:val="20"/>
        </w:rPr>
        <w:t xml:space="preserve"> </w:t>
      </w:r>
      <w:r w:rsidRPr="00161301">
        <w:rPr>
          <w:rFonts w:cs="Poppins"/>
          <w:b/>
          <w:bCs/>
          <w:color w:val="0B5AB2"/>
          <w:szCs w:val="20"/>
        </w:rPr>
        <w:t>Key Areas of Work, Objectives, and Responsibilities</w:t>
      </w:r>
    </w:p>
    <w:p w14:paraId="43CF4C82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aligns with the UN OCHA Cluster system, the Global Education Cluster, the national Education (in Emergencies) Cluster, and the broader humanitarian response framework.</w:t>
      </w:r>
    </w:p>
    <w:p w14:paraId="02B6E47B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Area of Work Objectives &amp; Responsibilities</w:t>
      </w:r>
    </w:p>
    <w:p w14:paraId="3D680093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Leadership and Planning</w:t>
      </w:r>
    </w:p>
    <w:p w14:paraId="59EAE297" w14:textId="77777777" w:rsidR="00161301" w:rsidRPr="00161301" w:rsidRDefault="00161301" w:rsidP="00161301">
      <w:pPr>
        <w:pStyle w:val="ListParagraph"/>
        <w:numPr>
          <w:ilvl w:val="0"/>
          <w:numId w:val="9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Develop EiE policies and plans across disaster phases (preparedness, response, recovery).</w:t>
      </w:r>
    </w:p>
    <w:p w14:paraId="2303ADDF" w14:textId="77777777" w:rsidR="00161301" w:rsidRPr="00161301" w:rsidRDefault="00161301" w:rsidP="00161301">
      <w:pPr>
        <w:pStyle w:val="ListParagraph"/>
        <w:numPr>
          <w:ilvl w:val="0"/>
          <w:numId w:val="9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Emphasize the critical role of education from the onset of crises.</w:t>
      </w:r>
    </w:p>
    <w:p w14:paraId="5F3216E1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Coordination and Partnerships</w:t>
      </w:r>
    </w:p>
    <w:p w14:paraId="1FA4B1E6" w14:textId="77777777" w:rsidR="00161301" w:rsidRPr="00161301" w:rsidRDefault="00161301" w:rsidP="00161301">
      <w:pPr>
        <w:pStyle w:val="ListParagraph"/>
        <w:numPr>
          <w:ilvl w:val="0"/>
          <w:numId w:val="10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Facilitate collaboration among education actors and humanitarian partners to deliver rapid and equitable responses. </w:t>
      </w:r>
    </w:p>
    <w:p w14:paraId="0C497736" w14:textId="77777777" w:rsidR="00161301" w:rsidRPr="00161301" w:rsidRDefault="00161301" w:rsidP="00161301">
      <w:pPr>
        <w:pStyle w:val="ListParagraph"/>
        <w:numPr>
          <w:ilvl w:val="0"/>
          <w:numId w:val="10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Avoid duplication and ensure inclusion. Coordinate with other clusters for integrated responses.</w:t>
      </w:r>
    </w:p>
    <w:p w14:paraId="796EFDFF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Information Management</w:t>
      </w:r>
    </w:p>
    <w:p w14:paraId="3213265C" w14:textId="77777777" w:rsidR="00161301" w:rsidRPr="00161301" w:rsidRDefault="00161301" w:rsidP="00161301">
      <w:pPr>
        <w:pStyle w:val="ListParagraph"/>
        <w:numPr>
          <w:ilvl w:val="0"/>
          <w:numId w:val="1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Collect and share accurate data on education needs post-disaster.</w:t>
      </w:r>
    </w:p>
    <w:p w14:paraId="23B36187" w14:textId="77777777" w:rsidR="00161301" w:rsidRPr="00161301" w:rsidRDefault="00161301" w:rsidP="00161301">
      <w:pPr>
        <w:pStyle w:val="ListParagraph"/>
        <w:numPr>
          <w:ilvl w:val="0"/>
          <w:numId w:val="1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Strengthen systems for tracking DRR, climate, and conflict impacts in education. </w:t>
      </w:r>
    </w:p>
    <w:p w14:paraId="33B1442C" w14:textId="77777777" w:rsidR="00161301" w:rsidRPr="00161301" w:rsidRDefault="00161301" w:rsidP="00161301">
      <w:pPr>
        <w:pStyle w:val="ListParagraph"/>
        <w:numPr>
          <w:ilvl w:val="0"/>
          <w:numId w:val="1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Provide timely reports for decision-making.</w:t>
      </w:r>
    </w:p>
    <w:p w14:paraId="32911471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Capacity Building</w:t>
      </w:r>
      <w:r w:rsidRPr="00161301">
        <w:rPr>
          <w:rFonts w:cs="Poppins"/>
          <w:color w:val="000000"/>
          <w:szCs w:val="20"/>
        </w:rPr>
        <w:t xml:space="preserve"> </w:t>
      </w:r>
    </w:p>
    <w:p w14:paraId="02C9FF55" w14:textId="77777777" w:rsidR="00161301" w:rsidRPr="00161301" w:rsidRDefault="00161301" w:rsidP="00161301">
      <w:pPr>
        <w:pStyle w:val="ListParagraph"/>
        <w:numPr>
          <w:ilvl w:val="0"/>
          <w:numId w:val="12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Strengthen skills of government and partner agencies to implement responsive and resilient EiE programs. </w:t>
      </w:r>
    </w:p>
    <w:p w14:paraId="1A550FE9" w14:textId="77777777" w:rsidR="00161301" w:rsidRPr="00161301" w:rsidRDefault="00161301" w:rsidP="00161301">
      <w:pPr>
        <w:pStyle w:val="ListParagraph"/>
        <w:numPr>
          <w:ilvl w:val="0"/>
          <w:numId w:val="12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Support learning exchanges and sub-national capacity development.</w:t>
      </w:r>
    </w:p>
    <w:p w14:paraId="4C5021AE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Resource Mobilization</w:t>
      </w:r>
    </w:p>
    <w:p w14:paraId="3928FE5B" w14:textId="77777777" w:rsidR="00161301" w:rsidRPr="00161301" w:rsidRDefault="00161301" w:rsidP="00161301">
      <w:pPr>
        <w:pStyle w:val="ListParagraph"/>
        <w:numPr>
          <w:ilvl w:val="0"/>
          <w:numId w:val="1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Secure funding for EiE responses. </w:t>
      </w:r>
    </w:p>
    <w:p w14:paraId="74B2C358" w14:textId="77777777" w:rsidR="00161301" w:rsidRPr="00161301" w:rsidRDefault="00161301" w:rsidP="00161301">
      <w:pPr>
        <w:pStyle w:val="ListParagraph"/>
        <w:numPr>
          <w:ilvl w:val="0"/>
          <w:numId w:val="13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lastRenderedPageBreak/>
        <w:t>Coordinate donor engagement, track resource use, and support efficient allocation across partners.</w:t>
      </w:r>
    </w:p>
    <w:p w14:paraId="08FD0274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Monitoring and Evaluation</w:t>
      </w:r>
    </w:p>
    <w:p w14:paraId="6D53DCCD" w14:textId="77777777" w:rsidR="00161301" w:rsidRPr="00161301" w:rsidRDefault="00161301" w:rsidP="00161301">
      <w:pPr>
        <w:pStyle w:val="ListParagraph"/>
        <w:numPr>
          <w:ilvl w:val="0"/>
          <w:numId w:val="14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Evaluate the impact of EiE interventions. </w:t>
      </w:r>
    </w:p>
    <w:p w14:paraId="454A9B4F" w14:textId="77777777" w:rsidR="00161301" w:rsidRPr="00161301" w:rsidRDefault="00161301" w:rsidP="00161301">
      <w:pPr>
        <w:pStyle w:val="ListParagraph"/>
        <w:numPr>
          <w:ilvl w:val="0"/>
          <w:numId w:val="14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 xml:space="preserve">Document lessons learned, challenges, and good practices. </w:t>
      </w:r>
    </w:p>
    <w:p w14:paraId="5A3502AF" w14:textId="77777777" w:rsidR="00161301" w:rsidRPr="00161301" w:rsidRDefault="00161301" w:rsidP="00161301">
      <w:pPr>
        <w:pStyle w:val="ListParagraph"/>
        <w:numPr>
          <w:ilvl w:val="0"/>
          <w:numId w:val="14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Track progress against response plans.</w:t>
      </w:r>
    </w:p>
    <w:p w14:paraId="3EB4DD60" w14:textId="77777777" w:rsidR="00161301" w:rsidRPr="00161301" w:rsidRDefault="00161301" w:rsidP="00161301">
      <w:pPr>
        <w:rPr>
          <w:rFonts w:cs="Poppins"/>
          <w:b/>
          <w:bCs/>
          <w:color w:val="0B5AB2"/>
          <w:szCs w:val="20"/>
        </w:rPr>
      </w:pPr>
      <w:r w:rsidRPr="00161301">
        <w:rPr>
          <w:rFonts w:cs="Poppins"/>
          <w:b/>
          <w:bCs/>
          <w:color w:val="0B5AB2"/>
          <w:szCs w:val="20"/>
        </w:rPr>
        <w:t>5.2 Key Outputs and Indicators</w:t>
      </w:r>
    </w:p>
    <w:p w14:paraId="3B9D71A2" w14:textId="77777777" w:rsidR="00161301" w:rsidRPr="00161301" w:rsidRDefault="00161301" w:rsidP="00161301">
      <w:pPr>
        <w:pStyle w:val="ListParagraph"/>
        <w:numPr>
          <w:ilvl w:val="0"/>
          <w:numId w:val="1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Minimized school days lost due to disasters and conflicts</w:t>
      </w:r>
    </w:p>
    <w:p w14:paraId="221D31D0" w14:textId="77777777" w:rsidR="00161301" w:rsidRPr="00161301" w:rsidRDefault="00161301" w:rsidP="00161301">
      <w:pPr>
        <w:pStyle w:val="ListParagraph"/>
        <w:numPr>
          <w:ilvl w:val="0"/>
          <w:numId w:val="1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Reduced education sector investment losses due to hazard impacts</w:t>
      </w:r>
    </w:p>
    <w:p w14:paraId="550CC9DC" w14:textId="77777777" w:rsidR="00161301" w:rsidRPr="00161301" w:rsidRDefault="00161301" w:rsidP="00161301">
      <w:pPr>
        <w:pStyle w:val="ListParagraph"/>
        <w:numPr>
          <w:ilvl w:val="0"/>
          <w:numId w:val="1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Increased access to early warning systems for schools</w:t>
      </w:r>
    </w:p>
    <w:p w14:paraId="66A8D9D5" w14:textId="77777777" w:rsidR="00161301" w:rsidRPr="00161301" w:rsidRDefault="00161301" w:rsidP="00161301">
      <w:pPr>
        <w:pStyle w:val="ListParagraph"/>
        <w:numPr>
          <w:ilvl w:val="0"/>
          <w:numId w:val="15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Strengthened coordination between the Education Cluster and humanitarian response actors</w:t>
      </w:r>
    </w:p>
    <w:p w14:paraId="76B9A335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6. Collective Impact Approach to Coordination</w:t>
      </w:r>
    </w:p>
    <w:p w14:paraId="4AB7187F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applies collective impact principles to build a social movement for school safety and resilience:</w:t>
      </w:r>
    </w:p>
    <w:p w14:paraId="6D339DB8" w14:textId="77777777" w:rsidR="00161301" w:rsidRPr="00161301" w:rsidRDefault="00161301" w:rsidP="00161301">
      <w:pPr>
        <w:pStyle w:val="ListParagraph"/>
        <w:numPr>
          <w:ilvl w:val="0"/>
          <w:numId w:val="1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Common Agenda: Align stakeholders with the CSS Framework and national priorities.</w:t>
      </w:r>
    </w:p>
    <w:p w14:paraId="70369706" w14:textId="77777777" w:rsidR="00161301" w:rsidRPr="00161301" w:rsidRDefault="00161301" w:rsidP="00161301">
      <w:pPr>
        <w:pStyle w:val="ListParagraph"/>
        <w:numPr>
          <w:ilvl w:val="0"/>
          <w:numId w:val="1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Shared Measurement: Use CSS Targets and Indicators for progress tracking.</w:t>
      </w:r>
    </w:p>
    <w:p w14:paraId="794CB2B1" w14:textId="77777777" w:rsidR="00161301" w:rsidRPr="00161301" w:rsidRDefault="00161301" w:rsidP="00161301">
      <w:pPr>
        <w:pStyle w:val="ListParagraph"/>
        <w:numPr>
          <w:ilvl w:val="0"/>
          <w:numId w:val="1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Mutually Reinforcing Activities: Encourage stakeholder collaboration and knowledge-sharing.</w:t>
      </w:r>
    </w:p>
    <w:p w14:paraId="0E7037B3" w14:textId="77777777" w:rsidR="00161301" w:rsidRPr="00161301" w:rsidRDefault="00161301" w:rsidP="00161301">
      <w:pPr>
        <w:pStyle w:val="ListParagraph"/>
        <w:numPr>
          <w:ilvl w:val="0"/>
          <w:numId w:val="1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Continuous Communication: Issue quarterly newsletters and updates.</w:t>
      </w:r>
    </w:p>
    <w:p w14:paraId="02158A33" w14:textId="77777777" w:rsidR="00161301" w:rsidRPr="00161301" w:rsidRDefault="00161301" w:rsidP="00161301">
      <w:pPr>
        <w:pStyle w:val="ListParagraph"/>
        <w:numPr>
          <w:ilvl w:val="0"/>
          <w:numId w:val="16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Backbone Support: Ensure dedicated leadership and resources for sustained coordination.</w:t>
      </w:r>
    </w:p>
    <w:p w14:paraId="0F637489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7. Strategic Planning and Coordination Process</w:t>
      </w:r>
    </w:p>
    <w:p w14:paraId="757A737A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To ensure effective and sustained collaboration, the [GROUP NAME] follows a four-step planning cycle:</w:t>
      </w:r>
    </w:p>
    <w:p w14:paraId="75ACF9A4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Stakeholder Engagement</w:t>
      </w:r>
    </w:p>
    <w:p w14:paraId="07F1FF32" w14:textId="77777777" w:rsidR="00161301" w:rsidRPr="00161301" w:rsidRDefault="00161301" w:rsidP="00161301">
      <w:pPr>
        <w:pStyle w:val="ListParagraph"/>
        <w:numPr>
          <w:ilvl w:val="0"/>
          <w:numId w:val="17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Maintain an updated stakeholder database</w:t>
      </w:r>
    </w:p>
    <w:p w14:paraId="69D7C2F4" w14:textId="77777777" w:rsidR="00161301" w:rsidRPr="00161301" w:rsidRDefault="00161301" w:rsidP="00161301">
      <w:pPr>
        <w:pStyle w:val="ListParagraph"/>
        <w:numPr>
          <w:ilvl w:val="0"/>
          <w:numId w:val="17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Use standardized tools for mapping and consultations</w:t>
      </w:r>
    </w:p>
    <w:p w14:paraId="155F07C6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Context Monitoring and Analysis</w:t>
      </w:r>
    </w:p>
    <w:p w14:paraId="79B9F771" w14:textId="77777777" w:rsidR="00161301" w:rsidRPr="00161301" w:rsidRDefault="00161301" w:rsidP="00161301">
      <w:pPr>
        <w:pStyle w:val="ListParagraph"/>
        <w:numPr>
          <w:ilvl w:val="0"/>
          <w:numId w:val="1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Conduct regular CSS Policy Surveys</w:t>
      </w:r>
    </w:p>
    <w:p w14:paraId="6E5692F3" w14:textId="77777777" w:rsidR="00161301" w:rsidRPr="00161301" w:rsidRDefault="00161301" w:rsidP="00161301">
      <w:pPr>
        <w:pStyle w:val="ListParagraph"/>
        <w:numPr>
          <w:ilvl w:val="0"/>
          <w:numId w:val="1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Update school safety context analyses every 2–3 years</w:t>
      </w:r>
    </w:p>
    <w:p w14:paraId="0A505982" w14:textId="77777777" w:rsidR="00161301" w:rsidRPr="00161301" w:rsidRDefault="00161301" w:rsidP="00161301">
      <w:pPr>
        <w:pStyle w:val="ListParagraph"/>
        <w:numPr>
          <w:ilvl w:val="0"/>
          <w:numId w:val="18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Use shared indicators to track progress</w:t>
      </w:r>
    </w:p>
    <w:p w14:paraId="478692FD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Strategic Planning</w:t>
      </w:r>
    </w:p>
    <w:p w14:paraId="10C1C7AF" w14:textId="77777777" w:rsidR="00161301" w:rsidRPr="00161301" w:rsidRDefault="00161301" w:rsidP="00161301">
      <w:pPr>
        <w:pStyle w:val="ListParagraph"/>
        <w:numPr>
          <w:ilvl w:val="0"/>
          <w:numId w:val="19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Host planning meetings every 1–2 years</w:t>
      </w:r>
    </w:p>
    <w:p w14:paraId="75163AE5" w14:textId="77777777" w:rsidR="00161301" w:rsidRPr="00161301" w:rsidRDefault="00161301" w:rsidP="00161301">
      <w:pPr>
        <w:pStyle w:val="ListParagraph"/>
        <w:numPr>
          <w:ilvl w:val="0"/>
          <w:numId w:val="19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Align national priorities with global frameworks</w:t>
      </w:r>
    </w:p>
    <w:p w14:paraId="70DE577A" w14:textId="77777777" w:rsidR="00161301" w:rsidRPr="00161301" w:rsidRDefault="00161301" w:rsidP="00161301">
      <w:pPr>
        <w:pStyle w:val="ListParagraph"/>
        <w:numPr>
          <w:ilvl w:val="0"/>
          <w:numId w:val="19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Develop coordinated activity roadmaps</w:t>
      </w:r>
    </w:p>
    <w:p w14:paraId="1CCEDFEE" w14:textId="77777777" w:rsidR="00161301" w:rsidRPr="00161301" w:rsidRDefault="00161301" w:rsidP="00161301">
      <w:pPr>
        <w:rPr>
          <w:rFonts w:cs="Poppins"/>
          <w:b/>
          <w:bCs/>
          <w:color w:val="000000"/>
          <w:szCs w:val="20"/>
        </w:rPr>
      </w:pPr>
      <w:r w:rsidRPr="00161301">
        <w:rPr>
          <w:rFonts w:cs="Poppins"/>
          <w:b/>
          <w:bCs/>
          <w:color w:val="000000"/>
          <w:szCs w:val="20"/>
        </w:rPr>
        <w:t>Backbone Structure and Coordination</w:t>
      </w:r>
    </w:p>
    <w:p w14:paraId="477163A2" w14:textId="77777777" w:rsidR="00161301" w:rsidRPr="00161301" w:rsidRDefault="00161301" w:rsidP="00161301">
      <w:pPr>
        <w:pStyle w:val="ListParagraph"/>
        <w:numPr>
          <w:ilvl w:val="0"/>
          <w:numId w:val="20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Hold quarterly [GROUP NAME] meetings</w:t>
      </w:r>
    </w:p>
    <w:p w14:paraId="64082434" w14:textId="77777777" w:rsidR="00161301" w:rsidRPr="00161301" w:rsidRDefault="00161301" w:rsidP="00161301">
      <w:pPr>
        <w:pStyle w:val="ListParagraph"/>
        <w:numPr>
          <w:ilvl w:val="0"/>
          <w:numId w:val="20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lastRenderedPageBreak/>
        <w:t>Foster collaboration across humanitarian, development, and peacebuilding sectors</w:t>
      </w:r>
    </w:p>
    <w:p w14:paraId="2761BD61" w14:textId="77777777" w:rsidR="00161301" w:rsidRPr="00161301" w:rsidRDefault="00161301" w:rsidP="00161301">
      <w:pPr>
        <w:rPr>
          <w:rFonts w:cs="Poppins"/>
          <w:b/>
          <w:bCs/>
          <w:color w:val="0B5AB2"/>
          <w:sz w:val="24"/>
        </w:rPr>
      </w:pPr>
      <w:r w:rsidRPr="00161301">
        <w:rPr>
          <w:rFonts w:cs="Poppins"/>
          <w:b/>
          <w:bCs/>
          <w:color w:val="0B5AB2"/>
          <w:sz w:val="24"/>
        </w:rPr>
        <w:t>8. Monitoring, Evaluation, and Accountability</w:t>
      </w:r>
    </w:p>
    <w:p w14:paraId="6BAAE796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will establish an M&amp;E framework aligned with CSSF targets and indicators and INEE Minimum Standards</w:t>
      </w:r>
    </w:p>
    <w:p w14:paraId="16834BEC" w14:textId="77777777" w:rsidR="00161301" w:rsidRPr="00161301" w:rsidRDefault="00161301" w:rsidP="00161301">
      <w:pPr>
        <w:pStyle w:val="ListParagraph"/>
        <w:numPr>
          <w:ilvl w:val="0"/>
          <w:numId w:val="2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Annual reports will assess progress in policy implementation, safety infrastructure, risk reduction education, and emergency preparedness.</w:t>
      </w:r>
    </w:p>
    <w:p w14:paraId="46045BE6" w14:textId="77777777" w:rsidR="00161301" w:rsidRPr="00161301" w:rsidRDefault="00161301" w:rsidP="00161301">
      <w:pPr>
        <w:pStyle w:val="ListParagraph"/>
        <w:numPr>
          <w:ilvl w:val="0"/>
          <w:numId w:val="21"/>
        </w:numPr>
        <w:spacing w:after="200"/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Accountability mechanisms will ensure clear roles and commitments among stakeholders.</w:t>
      </w:r>
    </w:p>
    <w:p w14:paraId="3046651E" w14:textId="77777777" w:rsidR="00161301" w:rsidRPr="00161301" w:rsidRDefault="00161301" w:rsidP="00161301">
      <w:pPr>
        <w:rPr>
          <w:rFonts w:cs="Poppins"/>
          <w:b/>
          <w:color w:val="0B5AB2"/>
          <w:sz w:val="24"/>
        </w:rPr>
      </w:pPr>
      <w:r w:rsidRPr="00161301">
        <w:rPr>
          <w:rFonts w:cs="Poppins"/>
          <w:b/>
          <w:color w:val="0B5AB2"/>
          <w:sz w:val="24"/>
        </w:rPr>
        <w:t>9. Governance and Review</w:t>
      </w:r>
    </w:p>
    <w:p w14:paraId="17A1EC38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[GROUP NAME] structure will be reviewed every 3 years to assess effectiveness and refine coordination mechanisms. Stakeholders will update strategic priorities based on new evidence, emerging risks, and lessons learned.</w:t>
      </w:r>
    </w:p>
    <w:p w14:paraId="39EFDC49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</w:p>
    <w:p w14:paraId="41E2C259" w14:textId="77777777" w:rsidR="00161301" w:rsidRPr="00161301" w:rsidRDefault="00161301" w:rsidP="00161301">
      <w:pPr>
        <w:rPr>
          <w:rFonts w:cs="Poppins"/>
          <w:b/>
          <w:color w:val="0B5AB2"/>
          <w:sz w:val="24"/>
        </w:rPr>
      </w:pPr>
      <w:r w:rsidRPr="00161301">
        <w:rPr>
          <w:rFonts w:cs="Poppins"/>
          <w:b/>
          <w:color w:val="0B5AB2"/>
          <w:sz w:val="24"/>
        </w:rPr>
        <w:t>Conclusion</w:t>
      </w:r>
    </w:p>
    <w:p w14:paraId="3346A467" w14:textId="77777777" w:rsidR="00161301" w:rsidRPr="00161301" w:rsidRDefault="00161301" w:rsidP="00161301">
      <w:pPr>
        <w:rPr>
          <w:rFonts w:cs="Poppins"/>
          <w:color w:val="000000"/>
          <w:szCs w:val="20"/>
        </w:rPr>
      </w:pPr>
      <w:r w:rsidRPr="00161301">
        <w:rPr>
          <w:rFonts w:cs="Poppins"/>
          <w:color w:val="000000"/>
          <w:szCs w:val="20"/>
        </w:rPr>
        <w:t>The National School Safety Coordination Group is a critical platform for aligning national efforts to create safe, resilient, and inclusive learning environments for all children. Through strong collaboration, data-driven decision- making, and sustained commitment, the [GROUP NAME] will support national progress towards achieving comprehensive school safety and educational resilience.</w:t>
      </w:r>
    </w:p>
    <w:p w14:paraId="152A8988" w14:textId="77777777" w:rsidR="00775998" w:rsidRPr="00161301" w:rsidRDefault="00775998">
      <w:pPr>
        <w:rPr>
          <w:rFonts w:cs="Poppins"/>
          <w:szCs w:val="20"/>
        </w:rPr>
      </w:pPr>
    </w:p>
    <w:sectPr w:rsidR="00775998" w:rsidRPr="00161301" w:rsidSect="00091B7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5866" w14:textId="77777777" w:rsidR="007F1113" w:rsidRDefault="007F1113" w:rsidP="00161301">
      <w:r>
        <w:separator/>
      </w:r>
    </w:p>
  </w:endnote>
  <w:endnote w:type="continuationSeparator" w:id="0">
    <w:p w14:paraId="11C3E591" w14:textId="77777777" w:rsidR="007F1113" w:rsidRDefault="007F1113" w:rsidP="0016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 Slab Black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Antiqua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9076147"/>
      <w:docPartObj>
        <w:docPartGallery w:val="Page Numbers (Bottom of Page)"/>
        <w:docPartUnique/>
      </w:docPartObj>
    </w:sdtPr>
    <w:sdtContent>
      <w:p w14:paraId="060519E9" w14:textId="32361333" w:rsidR="00161301" w:rsidRDefault="00161301" w:rsidP="00F771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049B080" w14:textId="77777777" w:rsidR="00161301" w:rsidRDefault="00161301" w:rsidP="00161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28508025"/>
      <w:docPartObj>
        <w:docPartGallery w:val="Page Numbers (Bottom of Page)"/>
        <w:docPartUnique/>
      </w:docPartObj>
    </w:sdtPr>
    <w:sdtContent>
      <w:p w14:paraId="56EA1A18" w14:textId="5895D755" w:rsidR="00161301" w:rsidRDefault="00161301" w:rsidP="00F771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9993DF2" w14:textId="77777777" w:rsidR="00161301" w:rsidRDefault="00161301" w:rsidP="001613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2625" w14:textId="77777777" w:rsidR="007F1113" w:rsidRDefault="007F1113" w:rsidP="00161301">
      <w:r>
        <w:separator/>
      </w:r>
    </w:p>
  </w:footnote>
  <w:footnote w:type="continuationSeparator" w:id="0">
    <w:p w14:paraId="4C9190B9" w14:textId="77777777" w:rsidR="007F1113" w:rsidRDefault="007F1113" w:rsidP="0016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245"/>
    <w:multiLevelType w:val="hybridMultilevel"/>
    <w:tmpl w:val="F71C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270"/>
    <w:multiLevelType w:val="hybridMultilevel"/>
    <w:tmpl w:val="0A32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361C"/>
    <w:multiLevelType w:val="hybridMultilevel"/>
    <w:tmpl w:val="2E9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1D30"/>
    <w:multiLevelType w:val="hybridMultilevel"/>
    <w:tmpl w:val="C0D8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B85"/>
    <w:multiLevelType w:val="hybridMultilevel"/>
    <w:tmpl w:val="8E8A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0E80"/>
    <w:multiLevelType w:val="hybridMultilevel"/>
    <w:tmpl w:val="12D0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07210"/>
    <w:multiLevelType w:val="hybridMultilevel"/>
    <w:tmpl w:val="3CD0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60DC"/>
    <w:multiLevelType w:val="hybridMultilevel"/>
    <w:tmpl w:val="4A0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2128"/>
    <w:multiLevelType w:val="hybridMultilevel"/>
    <w:tmpl w:val="57C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817"/>
    <w:multiLevelType w:val="hybridMultilevel"/>
    <w:tmpl w:val="136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3ED3"/>
    <w:multiLevelType w:val="hybridMultilevel"/>
    <w:tmpl w:val="B086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61C6"/>
    <w:multiLevelType w:val="hybridMultilevel"/>
    <w:tmpl w:val="80EC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2A1F"/>
    <w:multiLevelType w:val="hybridMultilevel"/>
    <w:tmpl w:val="3B70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9372C"/>
    <w:multiLevelType w:val="hybridMultilevel"/>
    <w:tmpl w:val="8C60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86BA2"/>
    <w:multiLevelType w:val="hybridMultilevel"/>
    <w:tmpl w:val="F75C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32B61"/>
    <w:multiLevelType w:val="hybridMultilevel"/>
    <w:tmpl w:val="B906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B51CA"/>
    <w:multiLevelType w:val="hybridMultilevel"/>
    <w:tmpl w:val="F81E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6066"/>
    <w:multiLevelType w:val="hybridMultilevel"/>
    <w:tmpl w:val="EBD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764D8"/>
    <w:multiLevelType w:val="hybridMultilevel"/>
    <w:tmpl w:val="21F6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925A0"/>
    <w:multiLevelType w:val="hybridMultilevel"/>
    <w:tmpl w:val="2C4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5F8F"/>
    <w:multiLevelType w:val="hybridMultilevel"/>
    <w:tmpl w:val="5BA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7267">
    <w:abstractNumId w:val="15"/>
  </w:num>
  <w:num w:numId="2" w16cid:durableId="1543056858">
    <w:abstractNumId w:val="8"/>
  </w:num>
  <w:num w:numId="3" w16cid:durableId="1672827301">
    <w:abstractNumId w:val="16"/>
  </w:num>
  <w:num w:numId="4" w16cid:durableId="88813714">
    <w:abstractNumId w:val="0"/>
  </w:num>
  <w:num w:numId="5" w16cid:durableId="1844852792">
    <w:abstractNumId w:val="19"/>
  </w:num>
  <w:num w:numId="6" w16cid:durableId="854533590">
    <w:abstractNumId w:val="11"/>
  </w:num>
  <w:num w:numId="7" w16cid:durableId="1980303867">
    <w:abstractNumId w:val="3"/>
  </w:num>
  <w:num w:numId="8" w16cid:durableId="261645506">
    <w:abstractNumId w:val="10"/>
  </w:num>
  <w:num w:numId="9" w16cid:durableId="1030837915">
    <w:abstractNumId w:val="9"/>
  </w:num>
  <w:num w:numId="10" w16cid:durableId="1972705230">
    <w:abstractNumId w:val="14"/>
  </w:num>
  <w:num w:numId="11" w16cid:durableId="1958674972">
    <w:abstractNumId w:val="6"/>
  </w:num>
  <w:num w:numId="12" w16cid:durableId="1039162289">
    <w:abstractNumId w:val="17"/>
  </w:num>
  <w:num w:numId="13" w16cid:durableId="1387950390">
    <w:abstractNumId w:val="2"/>
  </w:num>
  <w:num w:numId="14" w16cid:durableId="623073468">
    <w:abstractNumId w:val="18"/>
  </w:num>
  <w:num w:numId="15" w16cid:durableId="395933366">
    <w:abstractNumId w:val="20"/>
  </w:num>
  <w:num w:numId="16" w16cid:durableId="1491213515">
    <w:abstractNumId w:val="12"/>
  </w:num>
  <w:num w:numId="17" w16cid:durableId="1100296902">
    <w:abstractNumId w:val="4"/>
  </w:num>
  <w:num w:numId="18" w16cid:durableId="349795163">
    <w:abstractNumId w:val="7"/>
  </w:num>
  <w:num w:numId="19" w16cid:durableId="1683697974">
    <w:abstractNumId w:val="5"/>
  </w:num>
  <w:num w:numId="20" w16cid:durableId="2086223795">
    <w:abstractNumId w:val="1"/>
  </w:num>
  <w:num w:numId="21" w16cid:durableId="633757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01"/>
    <w:rsid w:val="00086976"/>
    <w:rsid w:val="00091B70"/>
    <w:rsid w:val="00161301"/>
    <w:rsid w:val="00233738"/>
    <w:rsid w:val="00363581"/>
    <w:rsid w:val="00722E1F"/>
    <w:rsid w:val="00775998"/>
    <w:rsid w:val="007A2913"/>
    <w:rsid w:val="007F1113"/>
    <w:rsid w:val="007F7281"/>
    <w:rsid w:val="00811017"/>
    <w:rsid w:val="00982E85"/>
    <w:rsid w:val="00A84FC3"/>
    <w:rsid w:val="00AC358B"/>
    <w:rsid w:val="00BD3811"/>
    <w:rsid w:val="00C50008"/>
    <w:rsid w:val="00C63482"/>
    <w:rsid w:val="00C8465E"/>
    <w:rsid w:val="00CB6D3B"/>
    <w:rsid w:val="00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1456"/>
  <w15:chartTrackingRefBased/>
  <w15:docId w15:val="{90666841-B3B6-874A-867C-9732F40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DRRRES Normal"/>
    <w:qFormat/>
    <w:rsid w:val="00161301"/>
    <w:rPr>
      <w:rFonts w:ascii="Poppins" w:eastAsia="Times New Roman" w:hAnsi="Poppins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37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A7C22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738"/>
    <w:rPr>
      <w:rFonts w:asciiTheme="majorHAnsi" w:eastAsiaTheme="majorEastAsia" w:hAnsiTheme="majorHAnsi" w:cstheme="majorBidi"/>
      <w:b/>
      <w:color w:val="3A7C22" w:themeColor="accent6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C8465E"/>
    <w:rPr>
      <w:color w:val="0070C1"/>
      <w:u w:val="single"/>
    </w:rPr>
  </w:style>
  <w:style w:type="paragraph" w:styleId="Title">
    <w:name w:val="Title"/>
    <w:aliases w:val="GADRRES Title 1"/>
    <w:basedOn w:val="Normal"/>
    <w:next w:val="Normal"/>
    <w:link w:val="TitleChar"/>
    <w:uiPriority w:val="10"/>
    <w:qFormat/>
    <w:rsid w:val="00C50008"/>
    <w:pPr>
      <w:contextualSpacing/>
    </w:pPr>
    <w:rPr>
      <w:rFonts w:ascii="Roboto Slab" w:eastAsiaTheme="majorEastAsia" w:hAnsi="Roboto Slab" w:cs="Times New Roman (Headings CS)"/>
      <w:b/>
      <w:color w:val="4573C5"/>
      <w:spacing w:val="-10"/>
      <w:kern w:val="28"/>
      <w:sz w:val="36"/>
      <w:szCs w:val="56"/>
      <w14:ligatures w14:val="standardContextual"/>
    </w:rPr>
  </w:style>
  <w:style w:type="character" w:customStyle="1" w:styleId="TitleChar">
    <w:name w:val="Title Char"/>
    <w:aliases w:val="GADRRES Title 1 Char"/>
    <w:basedOn w:val="DefaultParagraphFont"/>
    <w:link w:val="Title"/>
    <w:uiPriority w:val="10"/>
    <w:rsid w:val="00C50008"/>
    <w:rPr>
      <w:rFonts w:ascii="Roboto Slab" w:eastAsiaTheme="majorEastAsia" w:hAnsi="Roboto Slab" w:cs="Times New Roman (Headings CS)"/>
      <w:b/>
      <w:color w:val="4573C5"/>
      <w:spacing w:val="-10"/>
      <w:kern w:val="28"/>
      <w:sz w:val="36"/>
      <w:szCs w:val="56"/>
    </w:rPr>
  </w:style>
  <w:style w:type="character" w:styleId="FollowedHyperlink">
    <w:name w:val="FollowedHyperlink"/>
    <w:basedOn w:val="DefaultParagraphFont"/>
    <w:uiPriority w:val="99"/>
    <w:unhideWhenUsed/>
    <w:qFormat/>
    <w:rsid w:val="00C8465E"/>
    <w:rPr>
      <w:color w:val="0070C0"/>
      <w:u w:val="single"/>
    </w:rPr>
  </w:style>
  <w:style w:type="paragraph" w:customStyle="1" w:styleId="GADRRRESHD1">
    <w:name w:val="GADRRRES HD 1"/>
    <w:basedOn w:val="Heading1"/>
    <w:link w:val="GADRRRESHD1Char"/>
    <w:autoRedefine/>
    <w:qFormat/>
    <w:rsid w:val="00C8465E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Roboto Slab" w:eastAsia="Roboto Slab Black" w:hAnsi="Roboto Slab" w:cs="Roboto Slab"/>
      <w:bCs/>
      <w:color w:val="369FD0"/>
      <w:kern w:val="36"/>
      <w:sz w:val="48"/>
      <w:szCs w:val="48"/>
      <w14:ligatures w14:val="standardContextual"/>
    </w:rPr>
  </w:style>
  <w:style w:type="character" w:customStyle="1" w:styleId="GADRRRESHD1Char">
    <w:name w:val="GADRRRES HD 1 Char"/>
    <w:basedOn w:val="Heading1Char"/>
    <w:link w:val="GADRRRESHD1"/>
    <w:rsid w:val="00C8465E"/>
    <w:rPr>
      <w:rFonts w:ascii="Roboto Slab" w:eastAsia="Roboto Slab Black" w:hAnsi="Roboto Slab" w:cs="Roboto Slab"/>
      <w:b/>
      <w:bCs/>
      <w:color w:val="369FD0"/>
      <w:kern w:val="36"/>
      <w:sz w:val="48"/>
      <w:szCs w:val="48"/>
      <w:lang w:val="en-GB"/>
    </w:rPr>
  </w:style>
  <w:style w:type="paragraph" w:customStyle="1" w:styleId="GPE11ptblue">
    <w:name w:val="GPE 11 pt blue"/>
    <w:basedOn w:val="Normal"/>
    <w:autoRedefine/>
    <w:qFormat/>
    <w:rsid w:val="00A84FC3"/>
    <w:pPr>
      <w:jc w:val="both"/>
    </w:pPr>
    <w:rPr>
      <w:rFonts w:asciiTheme="minorHAnsi" w:hAnsiTheme="minorHAnsi"/>
      <w:b/>
      <w:bCs/>
      <w:color w:val="052072"/>
      <w:szCs w:val="20"/>
    </w:rPr>
  </w:style>
  <w:style w:type="paragraph" w:customStyle="1" w:styleId="PSDMHeading1">
    <w:name w:val="PSDM Heading 1"/>
    <w:basedOn w:val="Heading1"/>
    <w:autoRedefine/>
    <w:qFormat/>
    <w:rsid w:val="00BD3811"/>
    <w:pPr>
      <w:keepLines w:val="0"/>
      <w:tabs>
        <w:tab w:val="left" w:pos="0"/>
        <w:tab w:val="left" w:pos="1170"/>
        <w:tab w:val="center" w:pos="4646"/>
      </w:tabs>
      <w:spacing w:before="0" w:line="240" w:lineRule="auto"/>
      <w:jc w:val="center"/>
    </w:pPr>
    <w:rPr>
      <w:rFonts w:ascii="Arial" w:eastAsia="Cambria" w:hAnsi="Arial" w:cs="Arial"/>
      <w:bCs/>
      <w:color w:val="0070C0"/>
      <w:sz w:val="36"/>
      <w:szCs w:val="40"/>
    </w:rPr>
  </w:style>
  <w:style w:type="paragraph" w:customStyle="1" w:styleId="PSDMPara">
    <w:name w:val="PSDM Para"/>
    <w:basedOn w:val="Normal"/>
    <w:autoRedefine/>
    <w:qFormat/>
    <w:rsid w:val="00BD3811"/>
    <w:rPr>
      <w:rFonts w:ascii="Calibri" w:hAnsi="Calibri"/>
      <w:sz w:val="24"/>
    </w:rPr>
  </w:style>
  <w:style w:type="character" w:customStyle="1" w:styleId="PSDMHeading2">
    <w:name w:val="PSDM Heading 2"/>
    <w:basedOn w:val="DefaultParagraphFont"/>
    <w:uiPriority w:val="1"/>
    <w:qFormat/>
    <w:rsid w:val="00BD3811"/>
    <w:rPr>
      <w:rFonts w:ascii="Calibri" w:hAnsi="Calibri" w:cs="Arial"/>
      <w:b/>
      <w:i w:val="0"/>
      <w:color w:val="0070C0"/>
      <w:szCs w:val="21"/>
    </w:rPr>
  </w:style>
  <w:style w:type="paragraph" w:customStyle="1" w:styleId="PSDMText">
    <w:name w:val="PSDM Text"/>
    <w:basedOn w:val="Normal"/>
    <w:autoRedefine/>
    <w:qFormat/>
    <w:rsid w:val="00BD3811"/>
    <w:pPr>
      <w:spacing w:before="100" w:beforeAutospacing="1" w:after="100" w:afterAutospacing="1"/>
    </w:pPr>
    <w:rPr>
      <w:rFonts w:ascii="Calibri" w:hAnsi="Calibri" w:cs="Apple Color Emoji"/>
      <w:i/>
      <w:color w:val="000000"/>
      <w:sz w:val="24"/>
    </w:rPr>
  </w:style>
  <w:style w:type="character" w:customStyle="1" w:styleId="PSDMHeading3">
    <w:name w:val="PSDM Heading 3"/>
    <w:basedOn w:val="DefaultParagraphFont"/>
    <w:uiPriority w:val="1"/>
    <w:qFormat/>
    <w:rsid w:val="00BD3811"/>
    <w:rPr>
      <w:rFonts w:ascii="Calibri" w:hAnsi="Calibri" w:cs="Arial"/>
      <w:b/>
      <w:i w:val="0"/>
      <w:color w:val="0070C0"/>
      <w:sz w:val="36"/>
      <w:szCs w:val="21"/>
    </w:rPr>
  </w:style>
  <w:style w:type="paragraph" w:customStyle="1" w:styleId="SCI12P">
    <w:name w:val="• SCI 12P"/>
    <w:basedOn w:val="Normal"/>
    <w:autoRedefine/>
    <w:qFormat/>
    <w:rsid w:val="00722E1F"/>
    <w:pPr>
      <w:jc w:val="both"/>
    </w:pPr>
    <w:rPr>
      <w:rFonts w:ascii="Calibri" w:eastAsia="SimSun" w:hAnsi="Calibri" w:cs="BookAntiqua"/>
      <w:sz w:val="24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16130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01"/>
    <w:rPr>
      <w:rFonts w:eastAsiaTheme="majorEastAsia" w:cstheme="majorBidi"/>
      <w:color w:val="0F4761" w:themeColor="accent1" w:themeShade="BF"/>
      <w:kern w:val="0"/>
      <w:sz w:val="28"/>
      <w:szCs w:val="28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0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01"/>
    <w:rPr>
      <w:rFonts w:eastAsiaTheme="majorEastAsia" w:cstheme="majorBidi"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0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01"/>
    <w:rPr>
      <w:rFonts w:eastAsiaTheme="majorEastAsia" w:cstheme="majorBidi"/>
      <w:color w:val="595959" w:themeColor="text1" w:themeTint="A6"/>
      <w:kern w:val="0"/>
      <w:sz w:val="22"/>
      <w:szCs w:val="22"/>
      <w:lang w:val="en-GB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0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-GB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01"/>
    <w:rPr>
      <w:rFonts w:eastAsiaTheme="majorEastAsia" w:cstheme="majorBidi"/>
      <w:color w:val="272727" w:themeColor="text1" w:themeTint="D8"/>
      <w:kern w:val="0"/>
      <w:sz w:val="22"/>
      <w:szCs w:val="22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0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61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01"/>
    <w:rPr>
      <w:rFonts w:ascii="Source Sans Pro" w:hAnsi="Source Sans Pro" w:cs="Calibri"/>
      <w:i/>
      <w:iCs/>
      <w:color w:val="404040" w:themeColor="text1" w:themeTint="BF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1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01"/>
    <w:rPr>
      <w:rFonts w:ascii="Source Sans Pro" w:hAnsi="Source Sans Pro" w:cs="Calibri"/>
      <w:i/>
      <w:iCs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6130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61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01"/>
    <w:rPr>
      <w:rFonts w:ascii="Poppins" w:eastAsia="Times New Roman" w:hAnsi="Poppins" w:cs="Times New Roman"/>
      <w:kern w:val="0"/>
      <w:sz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drrres.net/files/css-quickstart-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Petal</dc:creator>
  <cp:keywords/>
  <dc:description/>
  <cp:lastModifiedBy>Rebekah Paci-Green</cp:lastModifiedBy>
  <cp:revision>2</cp:revision>
  <dcterms:created xsi:type="dcterms:W3CDTF">2025-09-29T18:13:00Z</dcterms:created>
  <dcterms:modified xsi:type="dcterms:W3CDTF">2025-09-29T18:13:00Z</dcterms:modified>
</cp:coreProperties>
</file>